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36B48" w:rsidR="00CC4B5D" w:rsidP="00CC4B5D" w:rsidRDefault="00CC4B5D" w14:paraId="fa40d98" w14:textId="fa40d98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136B48">
        <w:rPr>
          <w:rFonts w:ascii="Arial" w:hAnsi="Arial" w:cs="Arial"/>
        </w:rPr>
        <w:t xml:space="preserve">REPUBLIKA HRVATSKA </w:t>
      </w:r>
    </w:p>
    <w:p w:rsidRPr="00136B48" w:rsidR="00CC4B5D" w:rsidP="00CC4B5D" w:rsidRDefault="00CC4B5D">
      <w:pPr>
        <w:spacing w:line="240" w:lineRule="atLeast"/>
        <w:rPr>
          <w:rFonts w:ascii="Arial" w:hAnsi="Arial" w:cs="Arial"/>
        </w:rPr>
      </w:pPr>
      <w:r w:rsidRPr="00136B48">
        <w:rPr>
          <w:rFonts w:ascii="Arial" w:hAnsi="Arial" w:cs="Arial"/>
        </w:rPr>
        <w:t>TRGOVAČKI SUD U PAZINU</w:t>
      </w:r>
    </w:p>
    <w:p w:rsidRPr="00136B48" w:rsidR="00CC4B5D" w:rsidP="00CC4B5D" w:rsidRDefault="00CC4B5D">
      <w:pPr>
        <w:spacing w:line="240" w:lineRule="atLeast"/>
        <w:rPr>
          <w:rFonts w:ascii="Arial" w:hAnsi="Arial" w:cs="Arial"/>
        </w:rPr>
      </w:pPr>
      <w:r w:rsidRPr="00136B48">
        <w:rPr>
          <w:rFonts w:ascii="Arial" w:hAnsi="Arial" w:cs="Arial"/>
        </w:rPr>
        <w:t xml:space="preserve">52000 PAZIN, </w:t>
      </w:r>
      <w:proofErr w:type="spellStart"/>
      <w:r w:rsidRPr="00136B48">
        <w:rPr>
          <w:rFonts w:ascii="Arial" w:hAnsi="Arial" w:cs="Arial"/>
        </w:rPr>
        <w:t>Dršćevka</w:t>
      </w:r>
      <w:proofErr w:type="spellEnd"/>
      <w:r w:rsidRPr="00136B48">
        <w:rPr>
          <w:rFonts w:ascii="Arial" w:hAnsi="Arial" w:cs="Arial"/>
        </w:rPr>
        <w:t xml:space="preserve"> 1 </w:t>
      </w:r>
      <w:r w:rsidRPr="00136B48">
        <w:rPr>
          <w:rFonts w:ascii="Arial" w:hAnsi="Arial" w:cs="Arial"/>
        </w:rPr>
        <w:tab/>
      </w:r>
      <w:r w:rsidRPr="00136B48">
        <w:rPr>
          <w:rFonts w:ascii="Arial" w:hAnsi="Arial" w:cs="Arial"/>
        </w:rPr>
        <w:tab/>
      </w:r>
      <w:r w:rsidRPr="00136B48">
        <w:rPr>
          <w:rFonts w:ascii="Arial" w:hAnsi="Arial" w:cs="Arial"/>
        </w:rPr>
        <w:tab/>
      </w:r>
      <w:r w:rsidRPr="00136B48">
        <w:rPr>
          <w:rFonts w:ascii="Arial" w:hAnsi="Arial" w:cs="Arial"/>
        </w:rPr>
        <w:tab/>
      </w:r>
      <w:r w:rsidRPr="00136B48">
        <w:rPr>
          <w:rFonts w:ascii="Arial" w:hAnsi="Arial" w:cs="Arial"/>
        </w:rPr>
        <w:tab/>
      </w:r>
      <w:r w:rsidRPr="00136B48">
        <w:rPr>
          <w:rFonts w:ascii="Arial" w:hAnsi="Arial" w:cs="Arial"/>
        </w:rPr>
        <w:tab/>
      </w:r>
      <w:r w:rsidRPr="00136B48">
        <w:rPr>
          <w:rFonts w:ascii="Arial" w:hAnsi="Arial" w:cs="Arial"/>
        </w:rPr>
        <w:tab/>
      </w:r>
    </w:p>
    <w:p w:rsidRPr="00136B48" w:rsidR="00CC4B5D" w:rsidP="00CC4B5D" w:rsidRDefault="00A32B5B">
      <w:pPr>
        <w:spacing w:line="240" w:lineRule="atLeast"/>
        <w:jc w:val="right"/>
        <w:rPr>
          <w:rFonts w:ascii="Arial" w:hAnsi="Arial" w:cs="Arial"/>
        </w:rPr>
      </w:pPr>
      <w:r w:rsidRPr="00136B48">
        <w:rPr>
          <w:rFonts w:ascii="Arial" w:hAnsi="Arial" w:cs="Arial"/>
        </w:rPr>
        <w:t>St-</w:t>
      </w:r>
      <w:r w:rsidR="00C067B5">
        <w:rPr>
          <w:rFonts w:ascii="Arial" w:hAnsi="Arial" w:cs="Arial"/>
        </w:rPr>
        <w:t>372/2024-67</w:t>
      </w:r>
    </w:p>
    <w:p w:rsidRPr="00136B48" w:rsidR="00FB732B" w:rsidP="00CC4B5D" w:rsidRDefault="00FB732B">
      <w:pPr>
        <w:spacing w:line="240" w:lineRule="atLeast"/>
        <w:jc w:val="right"/>
        <w:rPr>
          <w:rFonts w:ascii="Arial" w:hAnsi="Arial" w:cs="Arial"/>
        </w:rPr>
      </w:pPr>
    </w:p>
    <w:p w:rsidRPr="00136B48" w:rsidR="00CC4B5D" w:rsidP="00CC4B5D" w:rsidRDefault="00CC4B5D">
      <w:pPr>
        <w:spacing w:line="240" w:lineRule="atLeast"/>
        <w:jc w:val="center"/>
        <w:rPr>
          <w:rFonts w:ascii="Arial" w:hAnsi="Arial" w:cs="Arial"/>
        </w:rPr>
      </w:pPr>
      <w:r w:rsidRPr="00136B48">
        <w:rPr>
          <w:rFonts w:ascii="Arial" w:hAnsi="Arial" w:cs="Arial"/>
        </w:rPr>
        <w:t>Z A P I S N I K</w:t>
      </w:r>
    </w:p>
    <w:p w:rsidRPr="00136B48" w:rsidR="00CC4B5D" w:rsidP="00CC4B5D" w:rsidRDefault="00790E74">
      <w:pPr>
        <w:spacing w:line="240" w:lineRule="atLeast"/>
        <w:jc w:val="center"/>
        <w:rPr>
          <w:rFonts w:ascii="Arial" w:hAnsi="Arial" w:cs="Arial"/>
        </w:rPr>
      </w:pPr>
      <w:r w:rsidRPr="00136B48">
        <w:rPr>
          <w:rFonts w:ascii="Arial" w:hAnsi="Arial" w:cs="Arial"/>
        </w:rPr>
        <w:t>o</w:t>
      </w:r>
      <w:r w:rsidRPr="00136B48" w:rsidR="00CC4B5D">
        <w:rPr>
          <w:rFonts w:ascii="Arial" w:hAnsi="Arial" w:cs="Arial"/>
        </w:rPr>
        <w:t xml:space="preserve">d </w:t>
      </w:r>
      <w:r w:rsidR="00C067B5">
        <w:rPr>
          <w:rFonts w:ascii="Arial" w:hAnsi="Arial" w:cs="Arial"/>
        </w:rPr>
        <w:t>15</w:t>
      </w:r>
      <w:r w:rsidRPr="00136B48" w:rsidR="008D3059">
        <w:rPr>
          <w:rFonts w:ascii="Arial" w:hAnsi="Arial" w:cs="Arial"/>
        </w:rPr>
        <w:t xml:space="preserve">. </w:t>
      </w:r>
      <w:r w:rsidR="00C067B5">
        <w:rPr>
          <w:rFonts w:ascii="Arial" w:hAnsi="Arial" w:cs="Arial"/>
        </w:rPr>
        <w:t>travnja</w:t>
      </w:r>
      <w:r w:rsidRPr="00136B48" w:rsidR="00FA3950">
        <w:rPr>
          <w:rFonts w:ascii="Arial" w:hAnsi="Arial" w:cs="Arial"/>
        </w:rPr>
        <w:t xml:space="preserve"> 202</w:t>
      </w:r>
      <w:r w:rsidR="00C067B5">
        <w:rPr>
          <w:rFonts w:ascii="Arial" w:hAnsi="Arial" w:cs="Arial"/>
        </w:rPr>
        <w:t>5</w:t>
      </w:r>
      <w:r w:rsidRPr="00136B48" w:rsidR="00FA3950">
        <w:rPr>
          <w:rFonts w:ascii="Arial" w:hAnsi="Arial" w:cs="Arial"/>
        </w:rPr>
        <w:t>.</w:t>
      </w:r>
    </w:p>
    <w:p w:rsidRPr="00136B48" w:rsidR="00CC4B5D" w:rsidP="00CC4B5D" w:rsidRDefault="00CC4B5D">
      <w:pPr>
        <w:spacing w:line="240" w:lineRule="atLeast"/>
        <w:jc w:val="center"/>
        <w:rPr>
          <w:rFonts w:ascii="Arial" w:hAnsi="Arial" w:cs="Arial"/>
        </w:rPr>
      </w:pPr>
      <w:r w:rsidRPr="00136B48">
        <w:rPr>
          <w:rFonts w:ascii="Arial" w:hAnsi="Arial" w:cs="Arial"/>
        </w:rPr>
        <w:t>Sastavljen kod Trgovačkog suda u Pazinu,</w:t>
      </w:r>
    </w:p>
    <w:p w:rsidRPr="00136B48" w:rsidR="00BB2BF8" w:rsidP="00C067B5" w:rsidRDefault="00CC4B5D">
      <w:pPr>
        <w:ind w:firstLine="708"/>
        <w:jc w:val="center"/>
        <w:rPr>
          <w:rFonts w:ascii="Arial" w:hAnsi="Arial" w:cs="Arial"/>
        </w:rPr>
      </w:pPr>
      <w:r w:rsidRPr="00136B48">
        <w:rPr>
          <w:rFonts w:ascii="Arial" w:hAnsi="Arial" w:cs="Arial"/>
        </w:rPr>
        <w:t xml:space="preserve">ročište </w:t>
      </w:r>
      <w:r w:rsidRPr="00136B48" w:rsidR="008D3059">
        <w:rPr>
          <w:rFonts w:ascii="Arial" w:hAnsi="Arial" w:cs="Arial"/>
        </w:rPr>
        <w:t xml:space="preserve">radi rasprave o troškovima unovčenja </w:t>
      </w:r>
      <w:r w:rsidR="00C067B5">
        <w:rPr>
          <w:rFonts w:ascii="Arial" w:hAnsi="Arial" w:cs="Arial"/>
        </w:rPr>
        <w:t>u postupku radi naknadne diobe</w:t>
      </w:r>
      <w:r w:rsidRPr="00136B48" w:rsidR="008D3059">
        <w:rPr>
          <w:rFonts w:ascii="Arial" w:hAnsi="Arial" w:cs="Arial"/>
        </w:rPr>
        <w:t xml:space="preserve"> stečajnog dužnika </w:t>
      </w:r>
      <w:r w:rsidRPr="00C067B5" w:rsidR="00C067B5">
        <w:rPr>
          <w:rFonts w:ascii="Arial" w:hAnsi="Arial" w:cs="Arial"/>
        </w:rPr>
        <w:t>Stečajna masa iza TEHNO TAFT d.o.o. u stečaju, OIB 74571261024, Vatroslava Lisinskog 2, Rijeka</w:t>
      </w:r>
    </w:p>
    <w:p w:rsidRPr="00136B48" w:rsidR="00FB732B" w:rsidP="00EF3C87" w:rsidRDefault="00FB732B">
      <w:pPr>
        <w:jc w:val="center"/>
        <w:rPr>
          <w:rFonts w:ascii="Arial" w:hAnsi="Arial" w:cs="Arial"/>
        </w:rPr>
      </w:pPr>
    </w:p>
    <w:p w:rsidRPr="00136B48" w:rsidR="00CC4B5D" w:rsidP="00CC4B5D" w:rsidRDefault="00CC4B5D">
      <w:pPr>
        <w:spacing w:line="240" w:lineRule="atLeast"/>
        <w:jc w:val="both"/>
        <w:rPr>
          <w:rFonts w:ascii="Arial" w:hAnsi="Arial" w:cs="Arial"/>
        </w:rPr>
      </w:pPr>
      <w:r w:rsidRPr="00136B48">
        <w:rPr>
          <w:rFonts w:ascii="Arial" w:hAnsi="Arial" w:cs="Arial"/>
        </w:rPr>
        <w:t>OD SUDA NAZOČNI:</w:t>
      </w:r>
    </w:p>
    <w:p w:rsidRPr="00136B48" w:rsidR="00CC4B5D" w:rsidP="00CC4B5D" w:rsidRDefault="00CC4B5D">
      <w:pPr>
        <w:spacing w:line="240" w:lineRule="atLeast"/>
        <w:jc w:val="both"/>
        <w:rPr>
          <w:rFonts w:ascii="Arial" w:hAnsi="Arial" w:cs="Arial"/>
        </w:rPr>
      </w:pPr>
      <w:r w:rsidRPr="00136B48">
        <w:rPr>
          <w:rFonts w:ascii="Arial" w:hAnsi="Arial" w:cs="Arial"/>
        </w:rPr>
        <w:t xml:space="preserve">Damir Rabar, stečajni sudac </w:t>
      </w:r>
    </w:p>
    <w:p w:rsidRPr="00136B48" w:rsidR="009A1AF8" w:rsidP="00CC4B5D" w:rsidRDefault="00C067B5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136B48" w:rsidR="009A1AF8">
        <w:rPr>
          <w:rFonts w:ascii="Arial" w:hAnsi="Arial" w:cs="Arial"/>
        </w:rPr>
        <w:t>, zapisničar</w:t>
      </w:r>
    </w:p>
    <w:p w:rsidRPr="00136B48" w:rsidR="00CC4B5D" w:rsidP="00CC4B5D" w:rsidRDefault="00CC4B5D">
      <w:pPr>
        <w:spacing w:line="240" w:lineRule="atLeast"/>
        <w:jc w:val="both"/>
        <w:rPr>
          <w:rFonts w:ascii="Arial" w:hAnsi="Arial" w:cs="Arial"/>
        </w:rPr>
      </w:pPr>
    </w:p>
    <w:p w:rsidRPr="00136B48" w:rsidR="00CC4B5D" w:rsidP="00CC4B5D" w:rsidRDefault="00397EB9">
      <w:pPr>
        <w:spacing w:line="240" w:lineRule="atLeast"/>
        <w:jc w:val="both"/>
        <w:rPr>
          <w:rFonts w:ascii="Arial" w:hAnsi="Arial" w:cs="Arial"/>
        </w:rPr>
      </w:pPr>
      <w:r w:rsidRPr="00136B48">
        <w:rPr>
          <w:rFonts w:ascii="Arial" w:hAnsi="Arial" w:cs="Arial"/>
        </w:rPr>
        <w:t xml:space="preserve">Početak u </w:t>
      </w:r>
      <w:r w:rsidR="00C067B5">
        <w:rPr>
          <w:rFonts w:ascii="Arial" w:hAnsi="Arial" w:cs="Arial"/>
        </w:rPr>
        <w:t>13:30</w:t>
      </w:r>
      <w:r w:rsidRPr="00136B48" w:rsidR="00CC4B5D">
        <w:rPr>
          <w:rFonts w:ascii="Arial" w:hAnsi="Arial" w:cs="Arial"/>
        </w:rPr>
        <w:t xml:space="preserve"> sati. Ročište je javno.</w:t>
      </w:r>
    </w:p>
    <w:p w:rsidRPr="00136B48" w:rsidR="001075F1" w:rsidP="001075F1" w:rsidRDefault="001075F1">
      <w:pPr>
        <w:jc w:val="both"/>
        <w:rPr>
          <w:rFonts w:ascii="Arial" w:hAnsi="Arial" w:cs="Arial"/>
        </w:rPr>
      </w:pPr>
      <w:r w:rsidRPr="00136B48">
        <w:rPr>
          <w:rFonts w:ascii="Arial" w:hAnsi="Arial" w:cs="Arial"/>
        </w:rPr>
        <w:t>Ročište se održava na daljinu uz korištenje audiovizualnih uređaja (čl. 115. st. 3. Zakona o parničnom postupku, Narodne novine br. 53/91, 91/92, 112/99, 88/01, 117/03, 88/05, 02/07-Odluka USRH, 84/08, 96/08-Odluka USRH, 123/08, 57/11, 148/11-pročišćeni tekst, 25/13, 89/14-Odluka USRH, 70/19).</w:t>
      </w:r>
    </w:p>
    <w:p w:rsidRPr="00136B48" w:rsidR="00CC4B5D" w:rsidP="00CC4B5D" w:rsidRDefault="00CC4B5D">
      <w:pPr>
        <w:spacing w:line="240" w:lineRule="atLeast"/>
        <w:jc w:val="both"/>
        <w:rPr>
          <w:rFonts w:ascii="Arial" w:hAnsi="Arial" w:cs="Arial"/>
        </w:rPr>
      </w:pPr>
    </w:p>
    <w:p w:rsidRPr="00136B48" w:rsidR="00CC4B5D" w:rsidP="00CC4B5D" w:rsidRDefault="00936C34">
      <w:pPr>
        <w:spacing w:line="240" w:lineRule="atLeast"/>
        <w:jc w:val="both"/>
        <w:rPr>
          <w:rFonts w:ascii="Arial" w:hAnsi="Arial" w:cs="Arial"/>
        </w:rPr>
      </w:pPr>
      <w:r w:rsidRPr="00136B48">
        <w:rPr>
          <w:rFonts w:ascii="Arial" w:hAnsi="Arial" w:cs="Arial"/>
        </w:rPr>
        <w:tab/>
      </w:r>
      <w:r w:rsidRPr="00136B48" w:rsidR="00CC4B5D">
        <w:rPr>
          <w:rFonts w:ascii="Arial" w:hAnsi="Arial" w:cs="Arial"/>
        </w:rPr>
        <w:t>Utvrđuje se da su pristupili:</w:t>
      </w:r>
    </w:p>
    <w:p w:rsidRPr="00136B48" w:rsidR="00A45BD3" w:rsidP="001075F1" w:rsidRDefault="00A45BD3">
      <w:pPr>
        <w:pStyle w:val="Odlomakpopisa"/>
        <w:numPr>
          <w:ilvl w:val="0"/>
          <w:numId w:val="13"/>
        </w:numPr>
        <w:spacing w:line="240" w:lineRule="atLeast"/>
        <w:jc w:val="both"/>
        <w:rPr>
          <w:rFonts w:ascii="Arial" w:hAnsi="Arial" w:cs="Arial"/>
        </w:rPr>
      </w:pPr>
      <w:r w:rsidRPr="00136B48">
        <w:rPr>
          <w:rFonts w:ascii="Arial" w:hAnsi="Arial" w:cs="Arial"/>
        </w:rPr>
        <w:t xml:space="preserve">zamjenica ŽDO Nevenka </w:t>
      </w:r>
      <w:proofErr w:type="spellStart"/>
      <w:r w:rsidRPr="00136B48">
        <w:rPr>
          <w:rFonts w:ascii="Arial" w:hAnsi="Arial" w:cs="Arial"/>
        </w:rPr>
        <w:t>Kovčalija</w:t>
      </w:r>
      <w:proofErr w:type="spellEnd"/>
      <w:r w:rsidRPr="00136B48">
        <w:rPr>
          <w:rFonts w:ascii="Arial" w:hAnsi="Arial" w:cs="Arial"/>
        </w:rPr>
        <w:t>, putem video linka</w:t>
      </w:r>
    </w:p>
    <w:p w:rsidR="00C067B5" w:rsidP="00065CB8" w:rsidRDefault="00C067B5">
      <w:pPr>
        <w:pStyle w:val="Odlomakpopisa"/>
        <w:spacing w:line="240" w:lineRule="atLeast"/>
        <w:ind w:left="1065"/>
        <w:jc w:val="both"/>
        <w:rPr>
          <w:rFonts w:ascii="Arial" w:hAnsi="Arial" w:cs="Arial"/>
        </w:rPr>
      </w:pPr>
    </w:p>
    <w:p w:rsidR="00065CB8" w:rsidP="00065CB8" w:rsidRDefault="00065CB8">
      <w:pPr>
        <w:pStyle w:val="Odlomakpopisa"/>
        <w:spacing w:line="240" w:lineRule="atLeast"/>
        <w:ind w:left="1065"/>
        <w:jc w:val="both"/>
        <w:rPr>
          <w:rFonts w:ascii="Arial" w:hAnsi="Arial" w:cs="Arial"/>
        </w:rPr>
      </w:pPr>
    </w:p>
    <w:p w:rsidRPr="00136B48" w:rsidR="00065CB8" w:rsidP="00065CB8" w:rsidRDefault="00065CB8">
      <w:pPr>
        <w:pStyle w:val="Odlomakpopisa"/>
        <w:spacing w:line="240" w:lineRule="atLeast"/>
        <w:ind w:left="1065"/>
        <w:jc w:val="both"/>
        <w:rPr>
          <w:rFonts w:ascii="Arial" w:hAnsi="Arial" w:cs="Arial"/>
        </w:rPr>
      </w:pPr>
    </w:p>
    <w:p w:rsidRPr="00136B48" w:rsidR="00FB732B" w:rsidP="00936C34" w:rsidRDefault="00A32B5B">
      <w:pPr>
        <w:spacing w:line="240" w:lineRule="atLeast"/>
        <w:jc w:val="both"/>
        <w:rPr>
          <w:rFonts w:ascii="Arial" w:hAnsi="Arial" w:cs="Arial"/>
        </w:rPr>
      </w:pPr>
      <w:r w:rsidRPr="00136B48">
        <w:rPr>
          <w:rFonts w:ascii="Arial" w:hAnsi="Arial" w:cs="Arial"/>
        </w:rPr>
        <w:tab/>
      </w:r>
      <w:r w:rsidRPr="00136B48" w:rsidR="00FB732B">
        <w:rPr>
          <w:rFonts w:ascii="Arial" w:hAnsi="Arial" w:cs="Arial"/>
          <w:spacing w:val="-1"/>
        </w:rPr>
        <w:t xml:space="preserve"> </w:t>
      </w:r>
      <w:r w:rsidRPr="00136B48" w:rsidR="00BB2BF8">
        <w:rPr>
          <w:rFonts w:ascii="Arial" w:hAnsi="Arial" w:cs="Arial"/>
          <w:spacing w:val="-1"/>
        </w:rPr>
        <w:t xml:space="preserve">Ovo ročište zakazano je radi </w:t>
      </w:r>
      <w:r w:rsidR="00C067B5">
        <w:rPr>
          <w:rFonts w:ascii="Arial" w:hAnsi="Arial" w:cs="Arial"/>
        </w:rPr>
        <w:t xml:space="preserve">rasprave o troškovima unovčenja u postupku radi naknadne diobe nad imovinom dužnika. </w:t>
      </w:r>
      <w:r w:rsidRPr="00136B48" w:rsidR="00790E74">
        <w:rPr>
          <w:rFonts w:ascii="Arial" w:hAnsi="Arial" w:cs="Arial"/>
        </w:rPr>
        <w:t xml:space="preserve"> </w:t>
      </w:r>
    </w:p>
    <w:p w:rsidR="008D3059" w:rsidP="00936C34" w:rsidRDefault="008D3059">
      <w:pPr>
        <w:spacing w:line="240" w:lineRule="atLeast"/>
        <w:jc w:val="both"/>
        <w:rPr>
          <w:rFonts w:ascii="Arial" w:hAnsi="Arial" w:cs="Arial"/>
        </w:rPr>
      </w:pPr>
    </w:p>
    <w:p w:rsidR="00065CB8" w:rsidP="00936C34" w:rsidRDefault="00065CB8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stečajna upraviteljica dostavila u spis završni račun i diobni popis 26. prosinca 2024. godine. </w:t>
      </w:r>
    </w:p>
    <w:p w:rsidRPr="00136B48" w:rsidR="00065CB8" w:rsidP="00936C34" w:rsidRDefault="00065CB8">
      <w:pPr>
        <w:spacing w:line="240" w:lineRule="atLeast"/>
        <w:jc w:val="both"/>
        <w:rPr>
          <w:rFonts w:ascii="Arial" w:hAnsi="Arial" w:cs="Arial"/>
        </w:rPr>
      </w:pPr>
    </w:p>
    <w:p w:rsidRPr="00136B48" w:rsidR="00B01461" w:rsidP="00790E74" w:rsidRDefault="008D3059">
      <w:pPr>
        <w:spacing w:line="240" w:lineRule="atLeast"/>
        <w:jc w:val="both"/>
        <w:rPr>
          <w:rFonts w:ascii="Arial" w:hAnsi="Arial" w:cs="Arial"/>
        </w:rPr>
      </w:pPr>
      <w:r w:rsidRPr="00136B48">
        <w:rPr>
          <w:rFonts w:ascii="Arial" w:hAnsi="Arial" w:cs="Arial"/>
        </w:rPr>
        <w:tab/>
      </w:r>
      <w:proofErr w:type="spellStart"/>
      <w:r w:rsidR="00065CB8">
        <w:rPr>
          <w:rFonts w:ascii="Arial" w:hAnsi="Arial" w:cs="Arial"/>
        </w:rPr>
        <w:t>Zamj</w:t>
      </w:r>
      <w:proofErr w:type="spellEnd"/>
      <w:r w:rsidR="00065CB8">
        <w:rPr>
          <w:rFonts w:ascii="Arial" w:hAnsi="Arial" w:cs="Arial"/>
        </w:rPr>
        <w:t xml:space="preserve">. ŽDO navodi kako je suglasna sa </w:t>
      </w:r>
      <w:r w:rsidRPr="00136B48" w:rsidR="005E5E09">
        <w:rPr>
          <w:rFonts w:ascii="Arial" w:hAnsi="Arial" w:cs="Arial"/>
        </w:rPr>
        <w:t>obračunom troškova</w:t>
      </w:r>
      <w:r w:rsidR="00065CB8">
        <w:rPr>
          <w:rFonts w:ascii="Arial" w:hAnsi="Arial" w:cs="Arial"/>
        </w:rPr>
        <w:t xml:space="preserve"> unovčenja</w:t>
      </w:r>
      <w:r w:rsidRPr="00136B48" w:rsidR="005E5E09">
        <w:rPr>
          <w:rFonts w:ascii="Arial" w:hAnsi="Arial" w:cs="Arial"/>
        </w:rPr>
        <w:t xml:space="preserve"> stečajne upraviteljice.</w:t>
      </w:r>
    </w:p>
    <w:p w:rsidR="005E5E09" w:rsidP="00790E74" w:rsidRDefault="005E5E09">
      <w:pPr>
        <w:spacing w:line="240" w:lineRule="atLeast"/>
        <w:jc w:val="both"/>
        <w:rPr>
          <w:rFonts w:ascii="Arial" w:hAnsi="Arial" w:cs="Arial"/>
        </w:rPr>
      </w:pPr>
      <w:r w:rsidRPr="00136B48">
        <w:rPr>
          <w:rFonts w:ascii="Arial" w:hAnsi="Arial" w:cs="Arial"/>
        </w:rPr>
        <w:t xml:space="preserve"> </w:t>
      </w:r>
    </w:p>
    <w:p w:rsidRPr="00136B48" w:rsidR="00C067B5" w:rsidP="00790E74" w:rsidRDefault="00C067B5">
      <w:pPr>
        <w:spacing w:line="240" w:lineRule="atLeast"/>
        <w:jc w:val="both"/>
        <w:rPr>
          <w:rFonts w:ascii="Arial" w:hAnsi="Arial" w:cs="Arial"/>
        </w:rPr>
      </w:pPr>
    </w:p>
    <w:p w:rsidRPr="00136B48" w:rsidR="00CC4B5D" w:rsidP="00D26BE4" w:rsidRDefault="005E5E09">
      <w:pPr>
        <w:spacing w:line="240" w:lineRule="atLeast"/>
        <w:jc w:val="both"/>
        <w:rPr>
          <w:rFonts w:ascii="Arial" w:hAnsi="Arial" w:cs="Arial"/>
        </w:rPr>
      </w:pPr>
      <w:r w:rsidRPr="00136B48">
        <w:rPr>
          <w:rFonts w:ascii="Arial" w:hAnsi="Arial" w:cs="Arial"/>
        </w:rPr>
        <w:tab/>
      </w:r>
      <w:r w:rsidRPr="00136B48" w:rsidR="00CC4B5D">
        <w:rPr>
          <w:rFonts w:ascii="Arial" w:hAnsi="Arial" w:cs="Arial"/>
        </w:rPr>
        <w:t>Sudac donosi</w:t>
      </w:r>
    </w:p>
    <w:p w:rsidRPr="00136B48" w:rsidR="00CC4B5D" w:rsidP="00CC4B5D" w:rsidRDefault="00CC4B5D">
      <w:pPr>
        <w:spacing w:line="240" w:lineRule="atLeast"/>
        <w:jc w:val="center"/>
        <w:rPr>
          <w:rFonts w:ascii="Arial" w:hAnsi="Arial" w:cs="Arial"/>
        </w:rPr>
      </w:pPr>
      <w:r w:rsidRPr="00136B48">
        <w:rPr>
          <w:rFonts w:ascii="Arial" w:hAnsi="Arial" w:cs="Arial"/>
        </w:rPr>
        <w:t>r j e š e nj e</w:t>
      </w:r>
    </w:p>
    <w:p w:rsidRPr="00136B48" w:rsidR="005E5E09" w:rsidP="00CC4B5D" w:rsidRDefault="005E5E09">
      <w:pPr>
        <w:spacing w:line="240" w:lineRule="atLeast"/>
        <w:jc w:val="center"/>
        <w:rPr>
          <w:rFonts w:ascii="Arial" w:hAnsi="Arial" w:cs="Arial"/>
        </w:rPr>
      </w:pPr>
    </w:p>
    <w:p w:rsidRPr="00136B48" w:rsidR="00FA3950" w:rsidP="00EF3C87" w:rsidRDefault="005E5E09">
      <w:pPr>
        <w:spacing w:line="240" w:lineRule="atLeast"/>
        <w:jc w:val="both"/>
        <w:rPr>
          <w:rFonts w:ascii="Arial" w:hAnsi="Arial" w:cs="Arial"/>
        </w:rPr>
      </w:pPr>
      <w:r w:rsidRPr="00136B48">
        <w:rPr>
          <w:rFonts w:ascii="Arial" w:hAnsi="Arial" w:cs="Arial"/>
        </w:rPr>
        <w:tab/>
        <w:t xml:space="preserve">I. </w:t>
      </w:r>
      <w:r w:rsidR="00C067B5">
        <w:rPr>
          <w:rFonts w:ascii="Arial" w:hAnsi="Arial" w:cs="Arial"/>
        </w:rPr>
        <w:tab/>
      </w:r>
      <w:r w:rsidRPr="00136B48" w:rsidR="00B01461">
        <w:rPr>
          <w:rFonts w:ascii="Arial" w:hAnsi="Arial" w:cs="Arial"/>
        </w:rPr>
        <w:t xml:space="preserve">Odluka će se donijeti u pisanom obliku. </w:t>
      </w:r>
    </w:p>
    <w:p w:rsidRPr="00065CB8" w:rsidR="001075F1" w:rsidP="00EF3C87" w:rsidRDefault="001075F1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065CB8" w:rsidR="001075F1" w:rsidP="001075F1" w:rsidRDefault="001075F1">
      <w:pPr>
        <w:ind w:firstLine="708"/>
        <w:jc w:val="both"/>
        <w:rPr>
          <w:rFonts w:ascii="Arial" w:hAnsi="Arial" w:cs="Arial"/>
          <w:color w:val="000000" w:themeColor="text1"/>
        </w:rPr>
      </w:pPr>
      <w:r w:rsidRPr="00065CB8">
        <w:rPr>
          <w:rFonts w:ascii="Arial" w:hAnsi="Arial" w:cs="Arial"/>
          <w:color w:val="000000" w:themeColor="text1"/>
        </w:rPr>
        <w:t>S obzirom na to da je ročište održano na daljinu zamjenica ŽDO ne potpisuj</w:t>
      </w:r>
      <w:r w:rsidRPr="00065CB8" w:rsidR="00065CB8">
        <w:rPr>
          <w:rFonts w:ascii="Arial" w:hAnsi="Arial" w:cs="Arial"/>
          <w:color w:val="000000" w:themeColor="text1"/>
        </w:rPr>
        <w:t>e</w:t>
      </w:r>
      <w:r w:rsidRPr="00065CB8">
        <w:rPr>
          <w:rFonts w:ascii="Arial" w:hAnsi="Arial" w:cs="Arial"/>
          <w:color w:val="000000" w:themeColor="text1"/>
        </w:rPr>
        <w:t xml:space="preserve"> zapisnik, već će se isti objaviti na e-Oglasnoj ploči suda odmah nakon održanog ročišta. </w:t>
      </w:r>
    </w:p>
    <w:p w:rsidRPr="00136B48" w:rsidR="001075F1" w:rsidP="00EF3C87" w:rsidRDefault="001075F1">
      <w:pPr>
        <w:spacing w:line="240" w:lineRule="atLeast"/>
        <w:jc w:val="both"/>
        <w:rPr>
          <w:rFonts w:ascii="Arial" w:hAnsi="Arial" w:cs="Arial"/>
        </w:rPr>
      </w:pPr>
    </w:p>
    <w:p w:rsidRPr="00136B48" w:rsidR="005E6B8B" w:rsidP="00AD285E" w:rsidRDefault="00EF3C87">
      <w:pPr>
        <w:pStyle w:val="Tijeloteksta"/>
        <w:spacing w:line="240" w:lineRule="atLeast"/>
        <w:jc w:val="center"/>
        <w:rPr>
          <w:rFonts w:ascii="Arial" w:hAnsi="Arial" w:cs="Arial"/>
        </w:rPr>
      </w:pPr>
      <w:r w:rsidRPr="00136B48">
        <w:rPr>
          <w:rFonts w:ascii="Arial" w:hAnsi="Arial" w:cs="Arial"/>
        </w:rPr>
        <w:t>Dovršeno u</w:t>
      </w:r>
      <w:r w:rsidRPr="00136B48" w:rsidR="00AD285E">
        <w:rPr>
          <w:rFonts w:ascii="Arial" w:hAnsi="Arial" w:cs="Arial"/>
        </w:rPr>
        <w:t xml:space="preserve"> </w:t>
      </w:r>
      <w:r w:rsidR="00C067B5">
        <w:rPr>
          <w:rFonts w:ascii="Arial" w:hAnsi="Arial" w:cs="Arial"/>
        </w:rPr>
        <w:t>13:</w:t>
      </w:r>
      <w:r w:rsidR="00B76675">
        <w:rPr>
          <w:rFonts w:ascii="Arial" w:hAnsi="Arial" w:cs="Arial"/>
        </w:rPr>
        <w:t>35</w:t>
      </w:r>
      <w:r w:rsidRPr="00136B48" w:rsidR="005E5E09">
        <w:rPr>
          <w:rFonts w:ascii="Arial" w:hAnsi="Arial" w:cs="Arial"/>
        </w:rPr>
        <w:t xml:space="preserve"> </w:t>
      </w:r>
      <w:r w:rsidRPr="00136B48" w:rsidR="00CC4B5D">
        <w:rPr>
          <w:rFonts w:ascii="Arial" w:hAnsi="Arial" w:cs="Arial"/>
        </w:rPr>
        <w:t>sati</w:t>
      </w:r>
    </w:p>
    <w:p w:rsidRPr="00136B48" w:rsidR="00147DAA" w:rsidP="00AD285E" w:rsidRDefault="00147DAA">
      <w:pPr>
        <w:pStyle w:val="Tijeloteksta"/>
        <w:spacing w:line="240" w:lineRule="atLeast"/>
        <w:jc w:val="center"/>
        <w:rPr>
          <w:rFonts w:ascii="Arial" w:hAnsi="Arial" w:cs="Arial"/>
        </w:rPr>
      </w:pPr>
    </w:p>
    <w:p w:rsidRPr="00136B48" w:rsidR="005E6B8B" w:rsidP="00CC4B5D" w:rsidRDefault="005E6B8B">
      <w:pPr>
        <w:spacing w:line="240" w:lineRule="atLeast"/>
        <w:rPr>
          <w:rFonts w:ascii="Arial" w:hAnsi="Arial" w:cs="Arial"/>
        </w:rPr>
      </w:pPr>
    </w:p>
    <w:p w:rsidRPr="00136B48" w:rsidR="00CC4B5D" w:rsidP="00CC4B5D" w:rsidRDefault="00CC4B5D">
      <w:pPr>
        <w:spacing w:line="240" w:lineRule="atLeast"/>
        <w:rPr>
          <w:rFonts w:ascii="Arial" w:hAnsi="Arial" w:cs="Arial"/>
        </w:rPr>
      </w:pPr>
      <w:r w:rsidRPr="00136B48">
        <w:rPr>
          <w:rFonts w:ascii="Arial" w:hAnsi="Arial" w:cs="Arial"/>
        </w:rPr>
        <w:tab/>
      </w:r>
      <w:r w:rsidRPr="00136B48">
        <w:rPr>
          <w:rFonts w:ascii="Arial" w:hAnsi="Arial" w:cs="Arial"/>
        </w:rPr>
        <w:tab/>
      </w:r>
      <w:r w:rsidRPr="00136B48">
        <w:rPr>
          <w:rFonts w:ascii="Arial" w:hAnsi="Arial" w:cs="Arial"/>
        </w:rPr>
        <w:tab/>
      </w:r>
      <w:r w:rsidR="00B76675">
        <w:rPr>
          <w:rFonts w:ascii="Arial" w:hAnsi="Arial" w:cs="Arial"/>
        </w:rPr>
        <w:t xml:space="preserve">                  </w:t>
      </w:r>
      <w:r w:rsidRPr="00136B48">
        <w:rPr>
          <w:rFonts w:ascii="Arial" w:hAnsi="Arial" w:cs="Arial"/>
        </w:rPr>
        <w:t xml:space="preserve">    Stečajni sudac</w:t>
      </w:r>
      <w:r w:rsidRPr="00136B48">
        <w:rPr>
          <w:rFonts w:ascii="Arial" w:hAnsi="Arial" w:cs="Arial"/>
        </w:rPr>
        <w:tab/>
      </w:r>
      <w:r w:rsidRPr="00136B48">
        <w:rPr>
          <w:rFonts w:ascii="Arial" w:hAnsi="Arial" w:cs="Arial"/>
        </w:rPr>
        <w:tab/>
      </w:r>
      <w:r w:rsidRPr="00136B48">
        <w:rPr>
          <w:rFonts w:ascii="Arial" w:hAnsi="Arial" w:cs="Arial"/>
        </w:rPr>
        <w:tab/>
      </w:r>
      <w:r w:rsidRPr="00136B48">
        <w:rPr>
          <w:rFonts w:ascii="Arial" w:hAnsi="Arial" w:cs="Arial"/>
        </w:rPr>
        <w:tab/>
        <w:t xml:space="preserve"> </w:t>
      </w:r>
    </w:p>
    <w:p w:rsidRPr="00136B48" w:rsidR="00CC4B5D" w:rsidP="00CC4B5D" w:rsidRDefault="00CC4B5D">
      <w:pPr>
        <w:spacing w:line="240" w:lineRule="atLeast"/>
        <w:jc w:val="center"/>
        <w:rPr>
          <w:rFonts w:ascii="Arial" w:hAnsi="Arial" w:cs="Arial"/>
        </w:rPr>
      </w:pPr>
      <w:r w:rsidRPr="00136B48">
        <w:rPr>
          <w:rFonts w:ascii="Arial" w:hAnsi="Arial" w:cs="Arial"/>
        </w:rPr>
        <w:tab/>
      </w:r>
      <w:r w:rsidRPr="00136B48">
        <w:rPr>
          <w:rFonts w:ascii="Arial" w:hAnsi="Arial" w:cs="Arial"/>
        </w:rPr>
        <w:tab/>
      </w:r>
      <w:r w:rsidRPr="00136B48">
        <w:rPr>
          <w:rFonts w:ascii="Arial" w:hAnsi="Arial" w:cs="Arial"/>
        </w:rPr>
        <w:tab/>
      </w:r>
    </w:p>
    <w:p w:rsidRPr="00136B48" w:rsidR="00CC4B5D" w:rsidP="00CC4B5D" w:rsidRDefault="00CC4B5D">
      <w:pPr>
        <w:spacing w:line="240" w:lineRule="atLeast"/>
        <w:rPr>
          <w:rFonts w:ascii="Arial" w:hAnsi="Arial" w:cs="Arial"/>
        </w:rPr>
      </w:pPr>
    </w:p>
    <w:p w:rsidRPr="00136B48" w:rsidR="000F4045" w:rsidP="00AD285E" w:rsidRDefault="00CC4B5D">
      <w:pPr>
        <w:spacing w:line="240" w:lineRule="atLeast"/>
        <w:ind w:firstLine="720"/>
        <w:jc w:val="both"/>
        <w:rPr>
          <w:rFonts w:ascii="Arial" w:hAnsi="Arial" w:cs="Arial"/>
        </w:rPr>
      </w:pPr>
      <w:r w:rsidRPr="00136B48">
        <w:rPr>
          <w:rFonts w:ascii="Arial" w:hAnsi="Arial" w:cs="Arial"/>
        </w:rPr>
        <w:t xml:space="preserve">                </w:t>
      </w:r>
      <w:r w:rsidRPr="00136B48">
        <w:rPr>
          <w:rFonts w:ascii="Arial" w:hAnsi="Arial" w:cs="Arial"/>
        </w:rPr>
        <w:tab/>
      </w:r>
      <w:r w:rsidRPr="00136B48">
        <w:rPr>
          <w:rFonts w:ascii="Arial" w:hAnsi="Arial" w:cs="Arial"/>
        </w:rPr>
        <w:tab/>
        <w:t xml:space="preserve"> </w:t>
      </w:r>
      <w:r w:rsidRPr="00136B48">
        <w:rPr>
          <w:rFonts w:ascii="Arial" w:hAnsi="Arial" w:cs="Arial"/>
        </w:rPr>
        <w:tab/>
      </w:r>
      <w:r w:rsidRPr="00136B48">
        <w:rPr>
          <w:rFonts w:ascii="Arial" w:hAnsi="Arial" w:cs="Arial"/>
        </w:rPr>
        <w:tab/>
      </w:r>
    </w:p>
    <w:p w:rsidRPr="00136B48" w:rsidR="00E07EDF" w:rsidP="000F4045" w:rsidRDefault="000F4045">
      <w:pPr>
        <w:jc w:val="center"/>
        <w:rPr>
          <w:rFonts w:ascii="Arial" w:hAnsi="Arial" w:cs="Arial"/>
        </w:rPr>
      </w:pPr>
      <w:r w:rsidRPr="00136B48">
        <w:rPr>
          <w:rFonts w:ascii="Arial" w:hAnsi="Arial" w:cs="Arial"/>
        </w:rPr>
        <w:t>Zapisničar</w:t>
      </w:r>
    </w:p>
    <w:sectPr w:rsidRPr="00136B48" w:rsidR="00E07EDF" w:rsidSect="004C277A">
      <w:headerReference w:type="default" r:id="rId8"/>
      <w:headerReference w:type="first" r:id="rId9"/>
      <w:pgSz w:w="11907" w:h="16840" w:code="9"/>
      <w:pgMar w:top="1418" w:right="1418" w:bottom="1418" w:left="1418" w:header="1418" w:footer="141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C277A" w:rsidP="004C277A" w:rsidRDefault="004C277A">
      <w:r>
        <w:separator/>
      </w:r>
    </w:p>
  </w:endnote>
  <w:endnote w:type="continuationSeparator" w:id="0">
    <w:p w:rsidR="004C277A" w:rsidP="004C277A" w:rsidRDefault="004C277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C277A" w:rsidP="004C277A" w:rsidRDefault="004C277A">
      <w:r>
        <w:separator/>
      </w:r>
    </w:p>
  </w:footnote>
  <w:footnote w:type="continuationSeparator" w:id="0">
    <w:p w:rsidR="004C277A" w:rsidP="004C277A" w:rsidRDefault="004C277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C277A" w:rsidR="004C277A" w:rsidP="004C277A" w:rsidRDefault="004C277A">
    <w:pPr>
      <w:pStyle w:val="Zaglavlje"/>
      <w:jc w:val="center"/>
      <w:rPr>
        <w:rFonts w:ascii="Arial" w:hAnsi="Arial" w:cs="Arial"/>
      </w:rPr>
    </w:pPr>
    <w:r w:rsidRPr="004C277A">
      <w:rPr>
        <w:rFonts w:ascii="Arial" w:hAnsi="Arial" w:cs="Arial"/>
      </w:rPr>
      <w:t>2</w:t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C277A" w:rsidRDefault="004C277A">
    <w:pPr>
      <w:pStyle w:val="Zaglavlje"/>
      <w:jc w:val="center"/>
    </w:pPr>
  </w:p>
  <w:p w:rsidR="004C277A" w:rsidRDefault="004C277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46381"/>
    <w:multiLevelType w:val="hybridMultilevel"/>
    <w:tmpl w:val="67A45DCE"/>
    <w:lvl w:ilvl="0" w:tplc="477A860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8B5D11"/>
    <w:multiLevelType w:val="hybridMultilevel"/>
    <w:tmpl w:val="D49CE78C"/>
    <w:lvl w:ilvl="0" w:tplc="D096BF20">
      <w:start w:val="1"/>
      <w:numFmt w:val="bullet"/>
      <w:lvlText w:val=""/>
      <w:lvlJc w:val="left"/>
      <w:pPr>
        <w:ind w:left="1065" w:hanging="360"/>
      </w:pPr>
      <w:rPr>
        <w:rFonts w:hint="default" w:ascii="Wingdings" w:hAnsi="Wingdings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18245D65"/>
    <w:multiLevelType w:val="hybridMultilevel"/>
    <w:tmpl w:val="4E466394"/>
    <w:lvl w:ilvl="0" w:tplc="E6E8DDD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216C59C7"/>
    <w:multiLevelType w:val="hybridMultilevel"/>
    <w:tmpl w:val="21981A66"/>
    <w:lvl w:ilvl="0" w:tplc="20D4B7A0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315F335B"/>
    <w:multiLevelType w:val="hybridMultilevel"/>
    <w:tmpl w:val="8886EA50"/>
    <w:lvl w:ilvl="0" w:tplc="5CDA84A8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3A7B5105"/>
    <w:multiLevelType w:val="hybridMultilevel"/>
    <w:tmpl w:val="CAD01392"/>
    <w:lvl w:ilvl="0" w:tplc="DA822E6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3F79350C"/>
    <w:multiLevelType w:val="hybridMultilevel"/>
    <w:tmpl w:val="B9FA1D8E"/>
    <w:lvl w:ilvl="0" w:tplc="075EEEE0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434A38CE"/>
    <w:multiLevelType w:val="hybridMultilevel"/>
    <w:tmpl w:val="340C32C0"/>
    <w:lvl w:ilvl="0" w:tplc="BDCA71E8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49575305"/>
    <w:multiLevelType w:val="hybridMultilevel"/>
    <w:tmpl w:val="43FCAF90"/>
    <w:lvl w:ilvl="0" w:tplc="EE86106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9">
    <w:nsid w:val="52461F0C"/>
    <w:multiLevelType w:val="hybridMultilevel"/>
    <w:tmpl w:val="95BA6D0C"/>
    <w:lvl w:ilvl="0" w:tplc="BAFCDB16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0">
    <w:nsid w:val="584A45E8"/>
    <w:multiLevelType w:val="hybridMultilevel"/>
    <w:tmpl w:val="7EAAC372"/>
    <w:lvl w:ilvl="0" w:tplc="02F25F54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1">
    <w:nsid w:val="6CA556E7"/>
    <w:multiLevelType w:val="hybridMultilevel"/>
    <w:tmpl w:val="9C002B52"/>
    <w:lvl w:ilvl="0" w:tplc="E990B97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D1874CB"/>
    <w:multiLevelType w:val="hybridMultilevel"/>
    <w:tmpl w:val="78586C10"/>
    <w:lvl w:ilvl="0" w:tplc="08B69CF2">
      <w:start w:val="1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3">
    <w:nsid w:val="6E3403B9"/>
    <w:multiLevelType w:val="hybridMultilevel"/>
    <w:tmpl w:val="59FA2C08"/>
    <w:lvl w:ilvl="0" w:tplc="AF283FBC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7"/>
  </w:num>
  <w:num w:numId="5">
    <w:abstractNumId w:val="10"/>
  </w:num>
  <w:num w:numId="6">
    <w:abstractNumId w:val="1"/>
  </w:num>
  <w:num w:numId="7">
    <w:abstractNumId w:val="12"/>
  </w:num>
  <w:num w:numId="8">
    <w:abstractNumId w:val="6"/>
  </w:num>
  <w:num w:numId="9">
    <w:abstractNumId w:val="3"/>
  </w:num>
  <w:num w:numId="10">
    <w:abstractNumId w:val="8"/>
  </w:num>
  <w:num w:numId="11">
    <w:abstractNumId w:val="2"/>
  </w:num>
  <w:num w:numId="12">
    <w:abstractNumId w:val="0"/>
  </w:num>
  <w:num w:numId="13">
    <w:abstractNumId w:val="9"/>
  </w:num>
  <w:num w:numId="14">
    <w:abstractNumId w:val="1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B5D"/>
    <w:rsid w:val="00065CB8"/>
    <w:rsid w:val="000F4045"/>
    <w:rsid w:val="001075F1"/>
    <w:rsid w:val="00136B48"/>
    <w:rsid w:val="00147DAA"/>
    <w:rsid w:val="001869CA"/>
    <w:rsid w:val="001F34B0"/>
    <w:rsid w:val="00213421"/>
    <w:rsid w:val="00236EC3"/>
    <w:rsid w:val="002A3686"/>
    <w:rsid w:val="00324BFB"/>
    <w:rsid w:val="003548CB"/>
    <w:rsid w:val="00397EB9"/>
    <w:rsid w:val="004C277A"/>
    <w:rsid w:val="004F4D07"/>
    <w:rsid w:val="004F7703"/>
    <w:rsid w:val="00525FF8"/>
    <w:rsid w:val="00593A03"/>
    <w:rsid w:val="005E5E09"/>
    <w:rsid w:val="005E6B8B"/>
    <w:rsid w:val="00721872"/>
    <w:rsid w:val="00790E74"/>
    <w:rsid w:val="00843074"/>
    <w:rsid w:val="0085354D"/>
    <w:rsid w:val="008B2FAD"/>
    <w:rsid w:val="008D3059"/>
    <w:rsid w:val="00936C34"/>
    <w:rsid w:val="0097243B"/>
    <w:rsid w:val="009A1AF8"/>
    <w:rsid w:val="009A6BE3"/>
    <w:rsid w:val="00A32B5B"/>
    <w:rsid w:val="00A35D01"/>
    <w:rsid w:val="00A370FC"/>
    <w:rsid w:val="00A45BD3"/>
    <w:rsid w:val="00AD285E"/>
    <w:rsid w:val="00AD3A63"/>
    <w:rsid w:val="00B01461"/>
    <w:rsid w:val="00B61A69"/>
    <w:rsid w:val="00B74646"/>
    <w:rsid w:val="00B76675"/>
    <w:rsid w:val="00BB2BF8"/>
    <w:rsid w:val="00BF2276"/>
    <w:rsid w:val="00C067B5"/>
    <w:rsid w:val="00C8515A"/>
    <w:rsid w:val="00CC4B5D"/>
    <w:rsid w:val="00D26BE4"/>
    <w:rsid w:val="00DE5FAB"/>
    <w:rsid w:val="00E07EDF"/>
    <w:rsid w:val="00E63EFE"/>
    <w:rsid w:val="00E67935"/>
    <w:rsid w:val="00EF1590"/>
    <w:rsid w:val="00EF3C87"/>
    <w:rsid w:val="00F86908"/>
    <w:rsid w:val="00FA3950"/>
    <w:rsid w:val="00FB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17CB4C43-C43B-4401-A434-2277443599C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C4B5D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CC4B5D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CC4B5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Default" w:customStyle="true">
    <w:name w:val="Default"/>
    <w:rsid w:val="00CC4B5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CC4B5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370F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370FC"/>
    <w:rPr>
      <w:rFonts w:ascii="Segoe UI" w:hAnsi="Segoe UI" w:eastAsia="Times New Roman" w:cs="Segoe UI"/>
      <w:bCs/>
      <w:sz w:val="18"/>
      <w:szCs w:val="18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AD285E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4C277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C277A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C277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C277A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F4D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4D0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4D0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4D0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4D0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212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13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824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15. travnja 2025.</izvorni_sadrzaj>
    <derivirana_varijabla naziv="DomainObject.StvarniPocetakDatum_1">15. travnja 2025.</derivirana_varijabla>
  </DomainObject.StvarniPocetakDatum>
  <DomainObject.StvarniZavrsetakDatum>
    <izvorni_sadrzaj>15. travnja 2025.</izvorni_sadrzaj>
    <derivirana_varijabla naziv="DomainObject.StvarniZavrsetakDatum_1">15. travnja 2025.</derivirana_varijabla>
  </DomainObject.StvarniZavrsetakDatum>
  <DomainObject.PlaniraniZavrsetakDatum>
    <izvorni_sadrzaj>15. travnja 2025.</izvorni_sadrzaj>
    <derivirana_varijabla naziv="DomainObject.PlaniraniZavrsetakDatum_1">15. travnja 2025.</derivirana_varijabla>
  </DomainObject.PlaniraniZavrsetakDatum>
  <DomainObject.PlaniraniPocetakDatum>
    <izvorni_sadrzaj>15. travnja 2025.</izvorni_sadrzaj>
    <derivirana_varijabla naziv="DomainObject.PlaniraniPocetakDatum_1">15. travnja 2025.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travnja 2025.</izvorni_sadrzaj>
    <derivirana_varijabla naziv="DomainObject.Zapisnik.DatumKreiranja_1">15.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St-372/2024-67</izvorni_sadrzaj>
    <derivirana_varijabla naziv="DomainObject.Zapisnik.Oznaka_1">St-372/2024-67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2024.</izvorni_sadrzaj>
    <derivirana_varijabla naziv="DomainObject.Predmet.DatumOsnivanja_1">25. listopada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St-372/2024</izvorni_sadrzaj>
    <derivirana_varijabla naziv="DomainObject.Predmet.OznakaBroj_1">St-372/2024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TEHNO TAFT društvo s ograničenom odgovornošću za trgovinu i usluge u stečaju</izvorni_sadrzaj>
    <derivirana_varijabla naziv="DomainObject.Predmet.ProtustrankaFormated_1">  Stečajna masa iza TEHNO TAFT društvo s ograničenom odgovornošću za trgovinu i usluge u stečaju</derivirana_varijabla>
  </DomainObject.Predmet.ProtustrankaFormated>
  <DomainObject.Predmet.ProtustrankaFormatedOIB>
    <izvorni_sadrzaj>  Stečajna masa iza TEHNO TAFT društvo s ograničenom odgovornošću za trgovinu i usluge u stečaju, OIB 74571261024</izvorni_sadrzaj>
    <derivirana_varijabla naziv="DomainObject.Predmet.ProtustrankaFormatedOIB_1">  Stečajna masa iza TEHNO TAFT društvo s ograničenom odgovornošću za trgovinu i usluge u stečaju, OIB 74571261024</derivirana_varijabla>
  </DomainObject.Predmet.ProtustrankaFormatedOIB>
  <DomainObject.Predmet.ProtustrankaFormatedWithAdress>
    <izvorni_sadrzaj> Stečajna masa iza TEHNO TAFT društvo s ograničenom odgovornošću za trgovinu i usluge u stečaju, Zagrebačka 16, 51000 Rijeka</izvorni_sadrzaj>
    <derivirana_varijabla naziv="DomainObject.Predmet.ProtustrankaFormatedWithAdress_1"> Stečajna masa iza TEHNO TAFT društvo s ograničenom odgovornošću za trgovinu i usluge u stečaju, Zagrebačka 16, 51000 Rijeka</derivirana_varijabla>
  </DomainObject.Predmet.ProtustrankaFormatedWithAdress>
  <DomainObject.Predmet.ProtustrankaFormatedWithAdressOIB>
    <izvorni_sadrzaj> Stečajna masa iza TEHNO TAFT društvo s ograničenom odgovornošću za trgovinu i usluge u stečaju, OIB 74571261024, Zagrebačka 16, 51000 Rijeka</izvorni_sadrzaj>
    <derivirana_varijabla naziv="DomainObject.Predmet.ProtustrankaFormatedWithAdressOIB_1"> Stečajna masa iza TEHNO TAFT društvo s ograničenom odgovornošću za trgovinu i usluge u stečaju, OIB 74571261024, Zagrebačka 16, 51000 Rijeka</derivirana_varijabla>
  </DomainObject.Predmet.ProtustrankaFormatedWithAdressOIB>
  <DomainObject.Predmet.ProtustrankaWithAdress>
    <izvorni_sadrzaj>Stečajna masa iza TEHNO TAFT društvo s ograničenom odgovornošću za trgovinu i usluge u stečaju Zagrebačka 16, 51000 Rijeka</izvorni_sadrzaj>
    <derivirana_varijabla naziv="DomainObject.Predmet.ProtustrankaWithAdress_1">Stečajna masa iza TEHNO TAFT društvo s ograničenom odgovornošću za trgovinu i usluge u stečaju Zagrebačka 16, 51000 Rijeka</derivirana_varijabla>
  </DomainObject.Predmet.ProtustrankaWithAdress>
  <DomainObject.Predmet.ProtustrankaWithAdressOIB>
    <izvorni_sadrzaj>Stečajna masa iza TEHNO TAFT društvo s ograničenom odgovornošću za trgovinu i usluge u stečaju, OIB 74571261024, Zagrebačka 16, 51000 Rijeka</izvorni_sadrzaj>
    <derivirana_varijabla naziv="DomainObject.Predmet.ProtustrankaWithAdressOIB_1">Stečajna masa iza TEHNO TAFT društvo s ograničenom odgovornošću za trgovinu i usluge u stečaju, OIB 74571261024, Zagrebačka 16, 51000 Rijeka</derivirana_varijabla>
  </DomainObject.Predmet.ProtustrankaWithAdressOIB>
  <DomainObject.Predmet.ProtustrankaNazivFormated>
    <izvorni_sadrzaj>Stečajna masa iza TEHNO TAFT društvo s ograničenom odgovornošću za trgovinu i usluge u stečaju</izvorni_sadrzaj>
    <derivirana_varijabla naziv="DomainObject.Predmet.ProtustrankaNazivFormated_1">Stečajna masa iza TEHNO TAFT društvo s ograničenom odgovornošću za trgovinu i usluge u stečaju</derivirana_varijabla>
  </DomainObject.Predmet.ProtustrankaNazivFormated>
  <DomainObject.Predmet.ProtustrankaNazivFormatedOIB>
    <izvorni_sadrzaj>Stečajna masa iza TEHNO TAFT društvo s ograničenom odgovornošću za trgovinu i usluge u stečaju, OIB 74571261024</izvorni_sadrzaj>
    <derivirana_varijabla naziv="DomainObject.Predmet.ProtustrankaNazivFormatedOIB_1">Stečajna masa iza TEHNO TAFT društvo s ograničenom odgovornošću za trgovinu i usluge u stečaju, OIB 74571261024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Stašić, RIJEKA</izvorni_sadrzaj>
    <derivirana_varijabla naziv="DomainObject.Predmet.StrankaFormated_1">  Dubravka Stašić, RIJEKA</derivirana_varijabla>
  </DomainObject.Predmet.StrankaFormated>
  <DomainObject.Predmet.StrankaFormatedOIB>
    <izvorni_sadrzaj>  Dubravka Stašić, RIJEKA, OIB 23303100671</izvorni_sadrzaj>
    <derivirana_varijabla naziv="DomainObject.Predmet.StrankaFormatedOIB_1">  Dubravka Stašić, RIJEKA, OIB 23303100671</derivirana_varijabla>
  </DomainObject.Predmet.StrankaFormatedOIB>
  <DomainObject.Predmet.StrankaFormatedWithAdress>
    <izvorni_sadrzaj> Dubravka Stašić, RIJEKA, Vatroslava Lisinskog 2, 51000 Rijeka</izvorni_sadrzaj>
    <derivirana_varijabla naziv="DomainObject.Predmet.StrankaFormatedWithAdress_1"> Dubravka Stašić, RIJEKA, Vatroslava Lisinskog 2, 51000 Rijeka</derivirana_varijabla>
  </DomainObject.Predmet.StrankaFormatedWithAdress>
  <DomainObject.Predmet.StrankaFormatedWithAdressOIB>
    <izvorni_sadrzaj> Dubravka Stašić, RIJEKA, OIB 23303100671, Vatroslava Lisinskog 2, 51000 Rijeka</izvorni_sadrzaj>
    <derivirana_varijabla naziv="DomainObject.Predmet.StrankaFormatedWithAdressOIB_1"> Dubravka Stašić, RIJEKA, OIB 23303100671, Vatroslava Lisinskog 2, 51000 Rijeka</derivirana_varijabla>
  </DomainObject.Predmet.StrankaFormatedWithAdressOIB>
  <DomainObject.Predmet.StrankaWithAdress>
    <izvorni_sadrzaj>Dubravka Stašić, RIJEKA Vatroslava Lisinskog 2,51000 Rijeka</izvorni_sadrzaj>
    <derivirana_varijabla naziv="DomainObject.Predmet.StrankaWithAdress_1">Dubravka Stašić, RIJEKA Vatroslava Lisinskog 2,51000 Rijeka</derivirana_varijabla>
  </DomainObject.Predmet.StrankaWithAdress>
  <DomainObject.Predmet.StrankaWithAdressOIB>
    <izvorni_sadrzaj>Dubravka Stašić, RIJEKA, OIB 23303100671, Vatroslava Lisinskog 2,51000 Rijeka</izvorni_sadrzaj>
    <derivirana_varijabla naziv="DomainObject.Predmet.StrankaWithAdressOIB_1">Dubravka Stašić, RIJEKA, OIB 23303100671, Vatroslava Lisinskog 2,51000 Rijeka</derivirana_varijabla>
  </DomainObject.Predmet.StrankaWithAdressOIB>
  <DomainObject.Predmet.StrankaNazivFormated>
    <izvorni_sadrzaj>Dubravka Stašić, RIJEKA</izvorni_sadrzaj>
    <derivirana_varijabla naziv="DomainObject.Predmet.StrankaNazivFormated_1">Dubravka Stašić, RIJEKA</derivirana_varijabla>
  </DomainObject.Predmet.StrankaNazivFormated>
  <DomainObject.Predmet.StrankaNazivFormatedOIB>
    <izvorni_sadrzaj>Dubravka Stašić, RIJEKA, OIB 23303100671</izvorni_sadrzaj>
    <derivirana_varijabla naziv="DomainObject.Predmet.StrankaNazivFormatedOIB_1">Dubravka Stašić, RIJEKA, OIB 23303100671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15827.93</izvorni_sadrzaj>
    <derivirana_varijabla naziv="DomainObject.Predmet.TrenutnaVrijednost_1">15827.93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Dubravka Stašić, RIJEKA</item>
    </izvorni_sadrzaj>
    <derivirana_varijabla naziv="DomainObject.Predmet.StrankaListFormated_1">
      <item>Dubravka Stašić, RIJEKA</item>
    </derivirana_varijabla>
  </DomainObject.Predmet.StrankaListFormated>
  <DomainObject.Predmet.StrankaListFormatedOIB>
    <izvorni_sadrzaj>
      <item>Dubravka Stašić, RIJEKA, OIB 23303100671</item>
    </izvorni_sadrzaj>
    <derivirana_varijabla naziv="DomainObject.Predmet.StrankaListFormatedOIB_1">
      <item>Dubravka Stašić, RIJEKA, OIB 23303100671</item>
    </derivirana_varijabla>
  </DomainObject.Predmet.StrankaListFormatedOIB>
  <DomainObject.Predmet.StrankaListFormatedWithAdress>
    <izvorni_sadrzaj>
      <item>Dubravka Stašić, RIJEKA, Vatroslava Lisinskog 2, 51000 Rijeka</item>
    </izvorni_sadrzaj>
    <derivirana_varijabla naziv="DomainObject.Predmet.StrankaListFormatedWithAdress_1">
      <item>Dubravka Stašić, RIJEKA, Vatroslava Lisinskog 2, 51000 Rijeka</item>
    </derivirana_varijabla>
  </DomainObject.Predmet.StrankaListFormatedWithAdress>
  <DomainObject.Predmet.StrankaListFormatedWithAdressOIB>
    <izvorni_sadrzaj>
      <item>Dubravka Stašić, RIJEKA, OIB 23303100671, Vatroslava Lisinskog 2, 51000 Rijeka</item>
    </izvorni_sadrzaj>
    <derivirana_varijabla naziv="DomainObject.Predmet.StrankaListFormatedWithAdressOIB_1">
      <item>Dubravka Stašić, RIJEKA, OIB 23303100671, Vatroslava Lisinskog 2, 51000 Rijeka</item>
    </derivirana_varijabla>
  </DomainObject.Predmet.StrankaListFormatedWithAdressOIB>
  <DomainObject.Predmet.StrankaListNazivFormated>
    <izvorni_sadrzaj>
      <item>Dubravka Stašić, RIJEKA</item>
    </izvorni_sadrzaj>
    <derivirana_varijabla naziv="DomainObject.Predmet.StrankaListNazivFormated_1">
      <item>Dubravka Stašić, RIJEKA</item>
    </derivirana_varijabla>
  </DomainObject.Predmet.StrankaListNazivFormated>
  <DomainObject.Predmet.StrankaListNazivFormatedOIB>
    <izvorni_sadrzaj>
      <item>Dubravka Stašić, RIJEKA, OIB 23303100671</item>
    </izvorni_sadrzaj>
    <derivirana_varijabla naziv="DomainObject.Predmet.StrankaListNazivFormatedOIB_1">
      <item>Dubravka Stašić, RIJEKA, OIB 23303100671</item>
    </derivirana_varijabla>
  </DomainObject.Predmet.StrankaListNazivFormatedOIB>
  <DomainObject.Predmet.ProtuStrankaListFormated>
    <izvorni_sadrzaj>
      <item>Stečajna masa iza TEHNO TAFT društvo s ograničenom odgovornošću za trgovinu i usluge u stečaju</item>
    </izvorni_sadrzaj>
    <derivirana_varijabla naziv="DomainObject.Predmet.ProtuStrankaListFormated_1">
      <item>Stečajna masa iza TEHNO TAFT društvo s ograničenom odgovornošću za trgovinu i usluge u stečaju</item>
    </derivirana_varijabla>
  </DomainObject.Predmet.ProtuStrankaListFormated>
  <DomainObject.Predmet.ProtuStrankaListFormatedOIB>
    <izvorni_sadrzaj>
      <item>Stečajna masa iza TEHNO TAFT društvo s ograničenom odgovornošću za trgovinu i usluge u stečaju, OIB 74571261024</item>
    </izvorni_sadrzaj>
    <derivirana_varijabla naziv="DomainObject.Predmet.ProtuStrankaListFormatedOIB_1">
      <item>Stečajna masa iza TEHNO TAFT društvo s ograničenom odgovornošću za trgovinu i usluge u stečaju, OIB 74571261024</item>
    </derivirana_varijabla>
  </DomainObject.Predmet.ProtuStrankaListFormatedOIB>
  <DomainObject.Predmet.ProtuStrankaListFormatedWithAdress>
    <izvorni_sadrzaj>
      <item>Stečajna masa iza TEHNO TAFT društvo s ograničenom odgovornošću za trgovinu i usluge u stečaju, Zagrebačka 16, 51000 Rijeka</item>
    </izvorni_sadrzaj>
    <derivirana_varijabla naziv="DomainObject.Predmet.ProtuStrankaListFormatedWithAdress_1">
      <item>Stečajna masa iza TEHNO TAFT društvo s ograničenom odgovornošću za trgovinu i usluge u stečaju, Zagrebačka 16, 51000 Rijeka</item>
    </derivirana_varijabla>
  </DomainObject.Predmet.ProtuStrankaListFormatedWithAdress>
  <DomainObject.Predmet.ProtuStrankaListFormatedWithAdressOIB>
    <izvorni_sadrzaj>
      <item>Stečajna masa iza TEHNO TAFT društvo s ograničenom odgovornošću za trgovinu i usluge u stečaju, OIB 74571261024, Zagrebačka 16, 51000 Rijeka</item>
    </izvorni_sadrzaj>
    <derivirana_varijabla naziv="DomainObject.Predmet.ProtuStrankaListFormatedWithAdressOIB_1">
      <item>Stečajna masa iza TEHNO TAFT društvo s ograničenom odgovornošću za trgovinu i usluge u stečaju, OIB 74571261024, Zagrebačka 16, 51000 Rijeka</item>
    </derivirana_varijabla>
  </DomainObject.Predmet.ProtuStrankaListFormatedWithAdressOIB>
  <DomainObject.Predmet.ProtuStrankaListNazivFormated>
    <izvorni_sadrzaj>
      <item>Stečajna masa iza TEHNO TAFT društvo s ograničenom odgovornošću za trgovinu i usluge u stečaju</item>
    </izvorni_sadrzaj>
    <derivirana_varijabla naziv="DomainObject.Predmet.ProtuStrankaListNazivFormated_1">
      <item>Stečajna masa iza TEHNO TAFT društvo s ograničenom odgovornošću za trgovinu i usluge u stečaju</item>
    </derivirana_varijabla>
  </DomainObject.Predmet.ProtuStrankaListNazivFormated>
  <DomainObject.Predmet.ProtuStrankaListNazivFormatedOIB>
    <izvorni_sadrzaj>
      <item>Stečajna masa iza TEHNO TAFT društvo s ograničenom odgovornošću za trgovinu i usluge u stečaju, OIB 74571261024</item>
    </izvorni_sadrzaj>
    <derivirana_varijabla naziv="DomainObject.Predmet.ProtuStrankaListNazivFormatedOIB_1">
      <item>Stečajna masa iza TEHNO TAFT društvo s ograničenom odgovornošću za trgovinu i usluge u stečaju, OIB 74571261024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travnja 2025.</izvorni_sadrzaj>
    <derivirana_varijabla naziv="DomainObject.Datum_1">15. travnja 2025.</derivirana_varijabla>
  </DomainObject.Datum>
  <DomainObject.PoslovniBrojDokumenta>
    <izvorni_sadrzaj>St-372/2024-67</izvorni_sadrzaj>
    <derivirana_varijabla naziv="DomainObject.PoslovniBrojDokumenta_1">St-372/2024-67</derivirana_varijabla>
  </DomainObject.PoslovniBrojDokumenta>
  <DomainObject.Predmet.StrankaIDrugi>
    <izvorni_sadrzaj>Dubravka Stašić, RIJEKA</izvorni_sadrzaj>
    <derivirana_varijabla naziv="DomainObject.Predmet.StrankaIDrugi_1">Dubravka Stašić, RIJEKA</derivirana_varijabla>
  </DomainObject.Predmet.StrankaIDrugi>
  <DomainObject.Predmet.ProtustrankaIDrugi>
    <izvorni_sadrzaj>Stečajna masa iza TEHNO TAFT društvo s ograničenom odgovornošću za trgovinu i usluge u stečaju</izvorni_sadrzaj>
    <derivirana_varijabla naziv="DomainObject.Predmet.ProtustrankaIDrugi_1">Stečajna masa iza TEHNO TAFT društvo s ograničenom odgovornošću za trgovinu i usluge u stečaju</derivirana_varijabla>
  </DomainObject.Predmet.ProtustrankaIDrugi>
  <DomainObject.Predmet.StrankaIDrugiAdressOIB>
    <izvorni_sadrzaj>Dubravka Stašić, RIJEKA, OIB 23303100671, Vatroslava Lisinskog 2, 51000 Rijeka</izvorni_sadrzaj>
    <derivirana_varijabla naziv="DomainObject.Predmet.StrankaIDrugiAdressOIB_1">Dubravka Stašić, RIJEKA, OIB 23303100671, Vatroslava Lisinskog 2, 51000 Rijeka</derivirana_varijabla>
  </DomainObject.Predmet.StrankaIDrugiAdressOIB>
  <DomainObject.Predmet.ProtustrankaIDrugiAdressOIB>
    <izvorni_sadrzaj>Stečajna masa iza TEHNO TAFT društvo s ograničenom odgovornošću za trgovinu i usluge u stečaju, OIB 74571261024, Zagrebačka 16, 51000 Rijeka</izvorni_sadrzaj>
    <derivirana_varijabla naziv="DomainObject.Predmet.ProtustrankaIDrugiAdressOIB_1">Stečajna masa iza TEHNO TAFT društvo s ograničenom odgovornošću za trgovinu i usluge u stečaju, OIB 74571261024, Zagrebačka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Stašić, RIJEKA</item>
      <item>Stečajna masa iza TEHNO TAFT društvo s ograničenom odgovornošću za trgovinu i usluge u stečaju</item>
    </izvorni_sadrzaj>
    <derivirana_varijabla naziv="DomainObject.Predmet.SudioniciListNaziv_1">
      <item>Dubravka Stašić, RIJEKA</item>
      <item>Stečajna masa iza TEHNO TAFT društvo s ograničenom odgovornošću za trgovinu i usluge u stečaju</item>
    </derivirana_varijabla>
  </DomainObject.Predmet.SudioniciListNaziv>
  <DomainObject.Predmet.SudioniciListAdressOIB>
    <izvorni_sadrzaj>
      <item>Dubravka Stašić, RIJEKA, OIB 23303100671, Vatroslava Lisinskog 2,51000 Rijeka</item>
      <item>Stečajna masa iza TEHNO TAFT društvo s ograničenom odgovornošću za trgovinu i usluge u stečaju, OIB 74571261024, Zagrebačka 16,51000 Rijeka</item>
    </izvorni_sadrzaj>
    <derivirana_varijabla naziv="DomainObject.Predmet.SudioniciListAdressOIB_1">
      <item>Dubravka Stašić, RIJEKA, OIB 23303100671, Vatroslava Lisinskog 2,51000 Rijeka</item>
      <item>Stečajna masa iza TEHNO TAFT društvo s ograničenom odgovornošću za trgovinu i usluge u stečaju, OIB 74571261024,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23303100671</item>
      <item>, OIB 74571261024</item>
    </izvorni_sadrzaj>
    <derivirana_varijabla naziv="DomainObject.Predmet.SudioniciListNazivOIB_1">
      <item>, OIB 23303100671</item>
      <item>, OIB 74571261024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2024.</izvorni_sadrzaj>
    <derivirana_varijabla naziv="DomainObject.Predmet.DatumPocetkaProcesa_1">21.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224</properties:Words>
  <properties:Characters>1214</properties:Characters>
  <properties:Lines>54</properties:Lines>
  <properties:Paragraphs>25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2025-04-14T11:42:00Z</dcterms:created>
  <dc:creator>Karin Vicel</dc:creator>
  <dc:description/>
  <cp:keywords/>
  <cp:lastModifiedBy>Karin Vicel</cp:lastModifiedBy>
  <cp:lastPrinted>2025-04-15T11:32:00Z</cp:lastPrinted>
  <dcterms:modified xmlns:xsi="http://www.w3.org/2001/XMLSchema-instance" xsi:type="dcterms:W3CDTF">2025-04-15T11:37:00Z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St-372/2024-67 / Zapisnik - Ročište (Zapisnik radi rasprave o troškovima.docx)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